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C4BC3">
      <w:pPr>
        <w:pStyle w:val="13"/>
        <w:keepNext w:val="0"/>
        <w:keepLines w:val="0"/>
        <w:pageBreakBefore w:val="0"/>
        <w:widowControl w:val="0"/>
        <w:kinsoku/>
        <w:wordWrap/>
        <w:overflowPunct/>
        <w:topLinePunct w:val="0"/>
        <w:autoSpaceDE/>
        <w:autoSpaceDN/>
        <w:bidi w:val="0"/>
        <w:snapToGrid/>
        <w:spacing w:line="600" w:lineRule="exact"/>
        <w:ind w:left="0" w:leftChars="0" w:firstLine="0" w:firstLineChars="0"/>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景德镇市公共资源交易中心</w:t>
      </w:r>
    </w:p>
    <w:p w14:paraId="7021D62D">
      <w:pPr>
        <w:pStyle w:val="13"/>
        <w:keepNext w:val="0"/>
        <w:keepLines w:val="0"/>
        <w:pageBreakBefore w:val="0"/>
        <w:widowControl w:val="0"/>
        <w:kinsoku/>
        <w:wordWrap/>
        <w:overflowPunct/>
        <w:topLinePunct w:val="0"/>
        <w:autoSpaceDE/>
        <w:autoSpaceDN/>
        <w:bidi w:val="0"/>
        <w:snapToGrid/>
        <w:spacing w:line="600" w:lineRule="exact"/>
        <w:ind w:left="0" w:leftChars="0" w:firstLine="0" w:firstLineChars="0"/>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关于恢复产权交易服务</w:t>
      </w:r>
      <w:r>
        <w:rPr>
          <w:rFonts w:hint="eastAsia" w:ascii="方正小标宋简体" w:hAnsi="方正小标宋简体" w:eastAsia="方正小标宋简体" w:cs="方正小标宋简体"/>
          <w:b w:val="0"/>
          <w:bCs w:val="0"/>
          <w:sz w:val="40"/>
          <w:szCs w:val="40"/>
          <w:lang w:val="en-US" w:eastAsia="zh-CN"/>
        </w:rPr>
        <w:t>性</w:t>
      </w:r>
      <w:r>
        <w:rPr>
          <w:rFonts w:hint="eastAsia" w:ascii="方正小标宋简体" w:hAnsi="方正小标宋简体" w:eastAsia="方正小标宋简体" w:cs="方正小标宋简体"/>
          <w:b w:val="0"/>
          <w:bCs w:val="0"/>
          <w:sz w:val="40"/>
          <w:szCs w:val="40"/>
        </w:rPr>
        <w:t>收费的通知</w:t>
      </w:r>
    </w:p>
    <w:p w14:paraId="367B8C8B">
      <w:pPr>
        <w:pStyle w:val="13"/>
        <w:keepNext w:val="0"/>
        <w:keepLines w:val="0"/>
        <w:pageBreakBefore w:val="0"/>
        <w:widowControl w:val="0"/>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val="0"/>
          <w:bCs w:val="0"/>
          <w:sz w:val="40"/>
          <w:szCs w:val="40"/>
        </w:rPr>
      </w:pPr>
    </w:p>
    <w:p w14:paraId="3EB488B5">
      <w:pPr>
        <w:pStyle w:val="11"/>
        <w:keepNext w:val="0"/>
        <w:keepLines w:val="0"/>
        <w:pageBreakBefore w:val="0"/>
        <w:widowControl w:val="0"/>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各交易主体、相关单位：</w:t>
      </w:r>
    </w:p>
    <w:p w14:paraId="0EB468E8">
      <w:pPr>
        <w:pStyle w:val="11"/>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根据市政府</w:t>
      </w:r>
      <w:r>
        <w:rPr>
          <w:rFonts w:hint="eastAsia" w:ascii="仿宋" w:hAnsi="仿宋" w:eastAsia="仿宋" w:cs="仿宋"/>
          <w:sz w:val="32"/>
          <w:szCs w:val="32"/>
          <w:lang w:val="en-US" w:eastAsia="zh-CN"/>
        </w:rPr>
        <w:t>关于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市政务服务管理局关于恢复产权交易服务性收费的请示</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批复</w:t>
      </w:r>
      <w:r>
        <w:rPr>
          <w:rFonts w:hint="eastAsia" w:ascii="仿宋" w:hAnsi="仿宋" w:eastAsia="仿宋" w:cs="仿宋"/>
          <w:sz w:val="32"/>
          <w:szCs w:val="32"/>
        </w:rPr>
        <w:t>，</w:t>
      </w:r>
      <w:r>
        <w:rPr>
          <w:rFonts w:hint="eastAsia" w:ascii="仿宋" w:hAnsi="仿宋" w:eastAsia="仿宋" w:cs="仿宋"/>
          <w:sz w:val="32"/>
          <w:szCs w:val="32"/>
          <w:lang w:val="en-US" w:eastAsia="zh-CN"/>
        </w:rPr>
        <w:t>我中心</w:t>
      </w:r>
      <w:r>
        <w:rPr>
          <w:rFonts w:hint="eastAsia" w:ascii="仿宋" w:hAnsi="仿宋" w:eastAsia="仿宋" w:cs="仿宋"/>
          <w:sz w:val="32"/>
          <w:szCs w:val="32"/>
        </w:rPr>
        <w:t>经研究，决定自2026年7月1日起，正式恢复全市产权交易服务</w:t>
      </w:r>
      <w:r>
        <w:rPr>
          <w:rFonts w:hint="eastAsia" w:ascii="仿宋" w:hAnsi="仿宋" w:eastAsia="仿宋" w:cs="仿宋"/>
          <w:sz w:val="32"/>
          <w:szCs w:val="32"/>
          <w:lang w:val="en-US" w:eastAsia="zh-CN"/>
        </w:rPr>
        <w:t>性</w:t>
      </w:r>
      <w:r>
        <w:rPr>
          <w:rFonts w:hint="eastAsia" w:ascii="仿宋" w:hAnsi="仿宋" w:eastAsia="仿宋" w:cs="仿宋"/>
          <w:sz w:val="32"/>
          <w:szCs w:val="32"/>
        </w:rPr>
        <w:t>收费工作，现将有关事项通知如下：</w:t>
      </w:r>
    </w:p>
    <w:p w14:paraId="0324EFB7">
      <w:pPr>
        <w:pStyle w:val="2"/>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收费政策依据</w:t>
      </w:r>
    </w:p>
    <w:p w14:paraId="60D71EE2">
      <w:pPr>
        <w:pStyle w:val="11"/>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江西省发展改革委关于降低产权交易服务收费等经营服务性收费标准的通知》（赣发改收费〔2017〕922号）、《关于进一步推动公共资源交易领域规范服务收费行为的通知》（赣发改公管〔2025〕13号）、赣发改公管〔2019〕275号、《江西省政府定价的经营服务性收费目录清单（2026）》及景德镇市农村综合产权交易管理相关规定执行收费。</w:t>
      </w:r>
    </w:p>
    <w:p w14:paraId="289FC6FB">
      <w:pPr>
        <w:pStyle w:val="2"/>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收费执行标准</w:t>
      </w:r>
    </w:p>
    <w:p w14:paraId="2D922295">
      <w:pPr>
        <w:pStyle w:val="11"/>
        <w:keepNext w:val="0"/>
        <w:keepLines w:val="0"/>
        <w:pageBreakBefore w:val="0"/>
        <w:widowControl w:val="0"/>
        <w:numPr>
          <w:ilvl w:val="0"/>
          <w:numId w:val="2"/>
        </w:numPr>
        <w:kinsoku/>
        <w:wordWrap/>
        <w:overflowPunct/>
        <w:topLinePunct w:val="0"/>
        <w:autoSpaceDE/>
        <w:autoSpaceDN/>
        <w:bidi w:val="0"/>
        <w:snapToGrid/>
        <w:spacing w:line="60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sz w:val="32"/>
          <w:szCs w:val="32"/>
        </w:rPr>
        <w:t>产权交易服务费统一按照省定最高指导价的50%计收（落实降费减负减半收取政策，赣发改公管〔2019〕275号相关条款与赣发改公管〔2025〕13号不一致的，以2025年13号文件为准）；赣发改收费〔2017〕922号所列价格为收费上限，中心在限价内按核定标准收取费用。</w:t>
      </w:r>
    </w:p>
    <w:p w14:paraId="12A1EE06">
      <w:pPr>
        <w:pStyle w:val="11"/>
        <w:keepNext w:val="0"/>
        <w:keepLines w:val="0"/>
        <w:pageBreakBefore w:val="0"/>
        <w:widowControl w:val="0"/>
        <w:numPr>
          <w:ilvl w:val="0"/>
          <w:numId w:val="2"/>
        </w:numPr>
        <w:kinsoku/>
        <w:wordWrap/>
        <w:overflowPunct/>
        <w:topLinePunct w:val="0"/>
        <w:autoSpaceDE/>
        <w:autoSpaceDN/>
        <w:bidi w:val="0"/>
        <w:snapToGrid/>
        <w:spacing w:line="600" w:lineRule="exact"/>
        <w:ind w:left="0" w:leftChars="0" w:firstLine="640" w:firstLineChars="200"/>
        <w:textAlignment w:val="auto"/>
        <w:rPr>
          <w:rFonts w:hint="eastAsia" w:ascii="仿宋" w:hAnsi="仿宋" w:eastAsia="仿宋" w:cs="仿宋"/>
          <w:b w:val="0"/>
          <w:sz w:val="32"/>
          <w:szCs w:val="32"/>
        </w:rPr>
      </w:pPr>
      <w:r>
        <w:rPr>
          <w:rFonts w:hint="eastAsia" w:ascii="仿宋" w:hAnsi="仿宋" w:eastAsia="仿宋" w:cs="仿宋"/>
          <w:sz w:val="32"/>
          <w:szCs w:val="32"/>
        </w:rPr>
        <w:t>农村集体产权分类收费：农民个人之间土地流转、签证相关产权交易免收服务费；农村集体资产资源经营性产权交易依规收取服务费，收费标准按物价部门核定标准执行。</w:t>
      </w:r>
    </w:p>
    <w:p w14:paraId="1081D8F0">
      <w:pPr>
        <w:pStyle w:val="2"/>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收支管理要求</w:t>
      </w:r>
    </w:p>
    <w:p w14:paraId="7FA25BE1">
      <w:pPr>
        <w:pStyle w:val="11"/>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按照赣财税〔2022〕25号文件规定，本项产权交易服务性收入不再纳入政府非税收入、不缴财政专户，全部收费收入与对应支出统一纳入中心年度部门预算规范管理。</w:t>
      </w:r>
    </w:p>
    <w:p w14:paraId="61A88CEE">
      <w:pPr>
        <w:pStyle w:val="2"/>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收费纪律规定</w:t>
      </w:r>
    </w:p>
    <w:p w14:paraId="498669CD">
      <w:pPr>
        <w:pStyle w:val="11"/>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中心严格遵照省级文件核定的收费项目、收费范围执行，严禁超项目、超限价、超标准违规收费，全面落实各类企业优惠减免、降费减负相关政策。</w:t>
      </w:r>
    </w:p>
    <w:p w14:paraId="3A39A3FE">
      <w:pPr>
        <w:pStyle w:val="2"/>
        <w:keepNext w:val="0"/>
        <w:keepLines w:val="0"/>
        <w:pageBreakBefore w:val="0"/>
        <w:widowControl w:val="0"/>
        <w:numPr>
          <w:ilvl w:val="0"/>
          <w:numId w:val="1"/>
        </w:numPr>
        <w:kinsoku/>
        <w:wordWrap/>
        <w:overflowPunct/>
        <w:topLinePunct w:val="0"/>
        <w:autoSpaceDE/>
        <w:autoSpaceDN/>
        <w:bidi w:val="0"/>
        <w:snapToGrid/>
        <w:spacing w:line="600" w:lineRule="exact"/>
        <w:ind w:left="0" w:leftChars="0" w:firstLine="0" w:firstLineChars="0"/>
        <w:textAlignment w:val="auto"/>
        <w:rPr>
          <w:rFonts w:hint="eastAsia" w:ascii="仿宋" w:hAnsi="仿宋" w:eastAsia="仿宋" w:cs="仿宋"/>
          <w:b/>
          <w:bCs/>
          <w:sz w:val="32"/>
          <w:szCs w:val="32"/>
        </w:rPr>
      </w:pPr>
      <w:r>
        <w:rPr>
          <w:rFonts w:hint="eastAsia" w:ascii="仿宋" w:hAnsi="仿宋" w:eastAsia="仿宋" w:cs="仿宋"/>
          <w:b/>
          <w:bCs/>
          <w:sz w:val="32"/>
          <w:szCs w:val="32"/>
        </w:rPr>
        <w:t>实施时间</w:t>
      </w:r>
    </w:p>
    <w:p w14:paraId="39740E88">
      <w:pPr>
        <w:pStyle w:val="11"/>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本通知自2026年7月1日起正式施行。</w:t>
      </w:r>
    </w:p>
    <w:p w14:paraId="198B4E3D">
      <w:pPr>
        <w:keepNext w:val="0"/>
        <w:keepLines w:val="0"/>
        <w:pageBreakBefore w:val="0"/>
        <w:widowControl w:val="0"/>
        <w:kinsoku/>
        <w:wordWrap/>
        <w:overflowPunct/>
        <w:topLinePunct w:val="0"/>
        <w:autoSpaceDE/>
        <w:autoSpaceDN/>
        <w:bidi w:val="0"/>
        <w:snapToGrid/>
        <w:spacing w:line="600" w:lineRule="exact"/>
        <w:ind w:firstLine="640" w:firstLineChars="200"/>
        <w:jc w:val="right"/>
        <w:textAlignment w:val="auto"/>
        <w:rPr>
          <w:rFonts w:hint="eastAsia" w:ascii="仿宋" w:hAnsi="仿宋" w:eastAsia="仿宋" w:cs="仿宋"/>
          <w:sz w:val="32"/>
          <w:szCs w:val="32"/>
        </w:rPr>
      </w:pPr>
      <w:bookmarkStart w:id="0" w:name="_GoBack"/>
      <w:bookmarkEnd w:id="0"/>
    </w:p>
    <w:p w14:paraId="2B8FD03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2" w:lineRule="atLeast"/>
        <w:ind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附件：1.江西省产权交易服务收费项目和收费标准</w:t>
      </w:r>
    </w:p>
    <w:p w14:paraId="70CF0A66">
      <w:pPr>
        <w:keepNext w:val="0"/>
        <w:keepLines w:val="0"/>
        <w:pageBreakBefore w:val="0"/>
        <w:widowControl w:val="0"/>
        <w:kinsoku/>
        <w:wordWrap/>
        <w:overflowPunct/>
        <w:topLinePunct w:val="0"/>
        <w:autoSpaceDE/>
        <w:autoSpaceDN/>
        <w:bidi w:val="0"/>
        <w:snapToGrid/>
        <w:spacing w:line="600" w:lineRule="exact"/>
        <w:ind w:firstLine="640" w:firstLineChars="200"/>
        <w:jc w:val="right"/>
        <w:textAlignment w:val="auto"/>
        <w:rPr>
          <w:rFonts w:hint="eastAsia" w:ascii="仿宋" w:hAnsi="仿宋" w:eastAsia="仿宋" w:cs="仿宋"/>
          <w:sz w:val="32"/>
          <w:szCs w:val="32"/>
        </w:rPr>
      </w:pPr>
    </w:p>
    <w:p w14:paraId="565F1605">
      <w:pPr>
        <w:keepNext w:val="0"/>
        <w:keepLines w:val="0"/>
        <w:pageBreakBefore w:val="0"/>
        <w:widowControl w:val="0"/>
        <w:kinsoku/>
        <w:wordWrap/>
        <w:overflowPunct/>
        <w:topLinePunct w:val="0"/>
        <w:autoSpaceDE/>
        <w:autoSpaceDN/>
        <w:bidi w:val="0"/>
        <w:snapToGrid/>
        <w:spacing w:line="600" w:lineRule="exact"/>
        <w:ind w:firstLine="640" w:firstLineChars="200"/>
        <w:jc w:val="right"/>
        <w:textAlignment w:val="auto"/>
        <w:rPr>
          <w:rFonts w:hint="eastAsia" w:ascii="仿宋" w:hAnsi="仿宋" w:eastAsia="仿宋" w:cs="仿宋"/>
          <w:sz w:val="32"/>
          <w:szCs w:val="32"/>
        </w:rPr>
      </w:pPr>
    </w:p>
    <w:p w14:paraId="2C42F9E4">
      <w:pPr>
        <w:keepNext w:val="0"/>
        <w:keepLines w:val="0"/>
        <w:pageBreakBefore w:val="0"/>
        <w:widowControl w:val="0"/>
        <w:kinsoku/>
        <w:wordWrap/>
        <w:overflowPunct/>
        <w:topLinePunct w:val="0"/>
        <w:autoSpaceDE/>
        <w:autoSpaceDN/>
        <w:bidi w:val="0"/>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景德镇市公共资源交易中心</w:t>
      </w:r>
    </w:p>
    <w:p w14:paraId="3BA711E6">
      <w:pPr>
        <w:keepNext w:val="0"/>
        <w:keepLines w:val="0"/>
        <w:pageBreakBefore w:val="0"/>
        <w:widowControl w:val="0"/>
        <w:kinsoku/>
        <w:wordWrap/>
        <w:overflowPunct/>
        <w:topLinePunct w:val="0"/>
        <w:autoSpaceDE/>
        <w:autoSpaceDN/>
        <w:bidi w:val="0"/>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2026年6月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14:paraId="01F5B20E">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2" w:lineRule="atLeast"/>
        <w:ind w:left="0" w:right="0" w:firstLine="48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江西省产权交易服务收费项目和收费标准</w:t>
      </w:r>
    </w:p>
    <w:tbl>
      <w:tblPr>
        <w:tblStyle w:val="14"/>
        <w:tblW w:w="9532" w:type="dxa"/>
        <w:tblInd w:w="-489"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7"/>
        <w:gridCol w:w="3090"/>
        <w:gridCol w:w="1485"/>
        <w:gridCol w:w="3540"/>
      </w:tblGrid>
      <w:tr w14:paraId="0C66D9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tcBorders>
              <w:top w:val="outset" w:color="000000" w:sz="8" w:space="0"/>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4CA69C3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right="0" w:firstLine="320" w:firstLineChars="100"/>
              <w:jc w:val="left"/>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收费</w:t>
            </w:r>
          </w:p>
          <w:p w14:paraId="7FAD5E9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right="0" w:firstLine="320" w:firstLineChars="10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项目</w:t>
            </w:r>
          </w:p>
        </w:tc>
        <w:tc>
          <w:tcPr>
            <w:tcW w:w="3090" w:type="dxa"/>
            <w:tcBorders>
              <w:top w:val="outset" w:color="000000" w:sz="8" w:space="0"/>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BC160AF">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成 交 金 额</w:t>
            </w:r>
          </w:p>
          <w:p w14:paraId="2FFF248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right="0" w:firstLine="640" w:firstLineChars="20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（万元）</w:t>
            </w:r>
          </w:p>
        </w:tc>
        <w:tc>
          <w:tcPr>
            <w:tcW w:w="1485" w:type="dxa"/>
            <w:tcBorders>
              <w:top w:val="outset" w:color="000000" w:sz="8" w:space="0"/>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26477C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320" w:right="0" w:hanging="320" w:hangingChars="100"/>
              <w:jc w:val="both"/>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收费标准（%）</w:t>
            </w:r>
          </w:p>
        </w:tc>
        <w:tc>
          <w:tcPr>
            <w:tcW w:w="3540" w:type="dxa"/>
            <w:tcBorders>
              <w:top w:val="outset" w:color="000000" w:sz="8" w:space="0"/>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1EB671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center"/>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备   注</w:t>
            </w:r>
          </w:p>
        </w:tc>
      </w:tr>
      <w:tr w14:paraId="44A81A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restart"/>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3BED52D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协议</w:t>
            </w:r>
          </w:p>
          <w:p w14:paraId="639B1C1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 交易</w:t>
            </w: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42BB857">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1000及以下</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E16127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0. 45</w:t>
            </w:r>
          </w:p>
        </w:tc>
        <w:tc>
          <w:tcPr>
            <w:tcW w:w="3540" w:type="dxa"/>
            <w:vMerge w:val="restart"/>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FF2DA72">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协议交易服务费按差额定率累进法计算，最低不 少于900元，可有交易双方共同承担，也可经交易双方协商，由一方承担。</w:t>
            </w:r>
          </w:p>
        </w:tc>
      </w:tr>
      <w:tr w14:paraId="00F87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24F8842E">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8111D1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1000以上至2000</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8F03AD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0. 36</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F3B9B2C">
            <w:pPr>
              <w:rPr>
                <w:rFonts w:hint="eastAsia" w:ascii="仿宋" w:hAnsi="仿宋" w:eastAsia="仿宋" w:cs="仿宋"/>
                <w:sz w:val="32"/>
                <w:szCs w:val="32"/>
              </w:rPr>
            </w:pPr>
          </w:p>
        </w:tc>
      </w:tr>
      <w:tr w14:paraId="6518C8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3A211FF8">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01E41DB">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2000以上至5000</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4E4C70D1">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0. 27</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6D79400E">
            <w:pPr>
              <w:rPr>
                <w:rFonts w:hint="eastAsia" w:ascii="仿宋" w:hAnsi="仿宋" w:eastAsia="仿宋" w:cs="仿宋"/>
                <w:sz w:val="32"/>
                <w:szCs w:val="32"/>
              </w:rPr>
            </w:pPr>
          </w:p>
        </w:tc>
      </w:tr>
      <w:tr w14:paraId="727BC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4669DB4E">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7A607A0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5000以上</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B0B09DA">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0. 18</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33BBEFF9">
            <w:pPr>
              <w:rPr>
                <w:rFonts w:hint="eastAsia" w:ascii="仿宋" w:hAnsi="仿宋" w:eastAsia="仿宋" w:cs="仿宋"/>
                <w:sz w:val="32"/>
                <w:szCs w:val="32"/>
              </w:rPr>
            </w:pPr>
          </w:p>
        </w:tc>
      </w:tr>
      <w:tr w14:paraId="185A2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restart"/>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507D7739">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color w:val="333333"/>
                <w:kern w:val="0"/>
                <w:sz w:val="32"/>
                <w:szCs w:val="32"/>
                <w:lang w:val="en-US" w:eastAsia="zh-CN" w:bidi="ar"/>
              </w:rPr>
            </w:pPr>
            <w:r>
              <w:rPr>
                <w:rFonts w:hint="eastAsia" w:ascii="仿宋" w:hAnsi="仿宋" w:eastAsia="仿宋" w:cs="仿宋"/>
                <w:color w:val="333333"/>
                <w:kern w:val="0"/>
                <w:sz w:val="32"/>
                <w:szCs w:val="32"/>
                <w:lang w:val="en-US" w:eastAsia="zh-CN" w:bidi="ar"/>
              </w:rPr>
              <w:t>竞价 </w:t>
            </w:r>
          </w:p>
          <w:p w14:paraId="7BAED4D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交易</w:t>
            </w: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21F9E08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1000及以下</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6BB7330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2. 475</w:t>
            </w:r>
          </w:p>
        </w:tc>
        <w:tc>
          <w:tcPr>
            <w:tcW w:w="3540" w:type="dxa"/>
            <w:vMerge w:val="restart"/>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132B18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right="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（一）竞价交易时，在收 取协议交易服务费的基 础上，另收竞价成交服务费。</w:t>
            </w:r>
          </w:p>
          <w:p w14:paraId="45A09DB0">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right="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（二）竞价交易服务费按 差额定律累进法计算，每 宗项目收费最低不少于 1800元。可由交易双方共 同承担，也可经交易双方 协商，由一方承担。</w:t>
            </w:r>
          </w:p>
        </w:tc>
      </w:tr>
      <w:tr w14:paraId="3A3B7B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0CF36D92">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E3EEC44">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1000以上至2000</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2833737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1.98</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740198DC">
            <w:pPr>
              <w:rPr>
                <w:rFonts w:hint="eastAsia" w:ascii="仿宋" w:hAnsi="仿宋" w:eastAsia="仿宋" w:cs="仿宋"/>
                <w:sz w:val="32"/>
                <w:szCs w:val="32"/>
              </w:rPr>
            </w:pPr>
          </w:p>
        </w:tc>
      </w:tr>
      <w:tr w14:paraId="26998A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68D3070F">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0E8955E6">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2000以上至5000</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5D959C6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1.485</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436CA77D">
            <w:pPr>
              <w:rPr>
                <w:rFonts w:hint="eastAsia" w:ascii="仿宋" w:hAnsi="仿宋" w:eastAsia="仿宋" w:cs="仿宋"/>
                <w:sz w:val="32"/>
                <w:szCs w:val="32"/>
              </w:rPr>
            </w:pPr>
          </w:p>
        </w:tc>
      </w:tr>
      <w:tr w14:paraId="2285A3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17" w:type="dxa"/>
            <w:vMerge w:val="continue"/>
            <w:tcBorders>
              <w:top w:val="nil"/>
              <w:left w:val="outset" w:color="000000" w:sz="8" w:space="0"/>
              <w:bottom w:val="outset" w:color="000000" w:sz="8" w:space="0"/>
              <w:right w:val="outset" w:color="000000" w:sz="8" w:space="0"/>
            </w:tcBorders>
            <w:shd w:val="clear" w:color="auto" w:fill="auto"/>
            <w:tcMar>
              <w:top w:w="0" w:type="dxa"/>
              <w:left w:w="0" w:type="dxa"/>
              <w:bottom w:w="0" w:type="dxa"/>
              <w:right w:w="0" w:type="dxa"/>
            </w:tcMar>
            <w:vAlign w:val="center"/>
          </w:tcPr>
          <w:p w14:paraId="5C2C8AE7">
            <w:pPr>
              <w:rPr>
                <w:rFonts w:hint="eastAsia" w:ascii="仿宋" w:hAnsi="仿宋" w:eastAsia="仿宋" w:cs="仿宋"/>
                <w:sz w:val="32"/>
                <w:szCs w:val="32"/>
              </w:rPr>
            </w:pPr>
          </w:p>
        </w:tc>
        <w:tc>
          <w:tcPr>
            <w:tcW w:w="3090"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2DB1B29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5000以上</w:t>
            </w:r>
          </w:p>
        </w:tc>
        <w:tc>
          <w:tcPr>
            <w:tcW w:w="1485" w:type="dxa"/>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223849D8">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80"/>
              <w:jc w:val="left"/>
              <w:rPr>
                <w:rFonts w:hint="eastAsia" w:ascii="仿宋" w:hAnsi="仿宋" w:eastAsia="仿宋" w:cs="仿宋"/>
                <w:sz w:val="32"/>
                <w:szCs w:val="32"/>
              </w:rPr>
            </w:pPr>
            <w:r>
              <w:rPr>
                <w:rFonts w:hint="eastAsia" w:ascii="仿宋" w:hAnsi="仿宋" w:eastAsia="仿宋" w:cs="仿宋"/>
                <w:color w:val="333333"/>
                <w:kern w:val="0"/>
                <w:sz w:val="32"/>
                <w:szCs w:val="32"/>
                <w:lang w:val="en-US" w:eastAsia="zh-CN" w:bidi="ar"/>
              </w:rPr>
              <w:t>0. 99</w:t>
            </w:r>
          </w:p>
        </w:tc>
        <w:tc>
          <w:tcPr>
            <w:tcW w:w="3540" w:type="dxa"/>
            <w:vMerge w:val="continue"/>
            <w:tcBorders>
              <w:top w:val="nil"/>
              <w:left w:val="nil"/>
              <w:bottom w:val="outset" w:color="000000" w:sz="8" w:space="0"/>
              <w:right w:val="outset" w:color="000000" w:sz="8" w:space="0"/>
            </w:tcBorders>
            <w:shd w:val="clear" w:color="auto" w:fill="auto"/>
            <w:tcMar>
              <w:top w:w="0" w:type="dxa"/>
              <w:left w:w="0" w:type="dxa"/>
              <w:bottom w:w="0" w:type="dxa"/>
              <w:right w:w="0" w:type="dxa"/>
            </w:tcMar>
            <w:vAlign w:val="center"/>
          </w:tcPr>
          <w:p w14:paraId="4E5C2C19">
            <w:pPr>
              <w:rPr>
                <w:rFonts w:hint="eastAsia" w:ascii="仿宋" w:hAnsi="仿宋" w:eastAsia="仿宋" w:cs="仿宋"/>
                <w:sz w:val="32"/>
                <w:szCs w:val="32"/>
              </w:rPr>
            </w:pPr>
          </w:p>
        </w:tc>
      </w:tr>
    </w:tbl>
    <w:p w14:paraId="2B81D34D">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2" w:lineRule="atLeast"/>
        <w:ind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说明：</w:t>
      </w:r>
    </w:p>
    <w:p w14:paraId="0C3670B3">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2" w:lineRule="atLeast"/>
        <w:ind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1、经省政府批准的改制、重组、破产的国有企业，其产权涉及交易的，按本文规定的收费标准36%为高最指导价；</w:t>
      </w:r>
    </w:p>
    <w:p w14:paraId="1560EAAC">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62" w:lineRule="atLeast"/>
        <w:ind w:right="0"/>
        <w:jc w:val="left"/>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2、股权类交易的成交额低于股权转让比例相对应的标的企业注册资本的，按相对应的标的企业注册资本额参照上述标准收取。</w:t>
      </w:r>
    </w:p>
    <w:p w14:paraId="33D245C4">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p>
    <w:p w14:paraId="7EB18062">
      <w:pPr>
        <w:keepNext w:val="0"/>
        <w:keepLines w:val="0"/>
        <w:pageBreakBefore w:val="0"/>
        <w:widowControl w:val="0"/>
        <w:kinsoku/>
        <w:wordWrap/>
        <w:overflowPunct/>
        <w:topLinePunct w:val="0"/>
        <w:autoSpaceDE/>
        <w:autoSpaceDN/>
        <w:bidi w:val="0"/>
        <w:snapToGrid/>
        <w:spacing w:line="600" w:lineRule="exact"/>
        <w:ind w:firstLine="640" w:firstLineChars="200"/>
        <w:jc w:val="lef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50DB4B8-5C90-4D90-8892-C6B07E7A9847}"/>
  </w:font>
  <w:font w:name="方正小标宋简体">
    <w:panose1 w:val="02000000000000000000"/>
    <w:charset w:val="86"/>
    <w:family w:val="auto"/>
    <w:pitch w:val="default"/>
    <w:sig w:usb0="00000001" w:usb1="08000000" w:usb2="00000000" w:usb3="00000000" w:csb0="00040000" w:csb1="00000000"/>
    <w:embedRegular r:id="rId2" w:fontKey="{833D4371-6439-441D-A46B-2E34C8202379}"/>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4D02B"/>
    <w:multiLevelType w:val="singleLevel"/>
    <w:tmpl w:val="CA84D02B"/>
    <w:lvl w:ilvl="0" w:tentative="0">
      <w:start w:val="1"/>
      <w:numFmt w:val="decimal"/>
      <w:suff w:val="space"/>
      <w:lvlText w:val="%1."/>
      <w:lvlJc w:val="left"/>
      <w:pPr>
        <w:ind w:left="0" w:firstLine="480"/>
      </w:pPr>
      <w:rPr>
        <w:rFonts w:hint="default"/>
      </w:rPr>
    </w:lvl>
  </w:abstractNum>
  <w:abstractNum w:abstractNumId="1">
    <w:nsid w:val="DBE89E17"/>
    <w:multiLevelType w:val="singleLevel"/>
    <w:tmpl w:val="DBE89E17"/>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2E78"/>
    <w:rsid w:val="0CD33710"/>
    <w:rsid w:val="103B4960"/>
    <w:rsid w:val="19F13A9E"/>
    <w:rsid w:val="1C33473D"/>
    <w:rsid w:val="24B30B9B"/>
    <w:rsid w:val="25BF7042"/>
    <w:rsid w:val="31444BB2"/>
    <w:rsid w:val="344057F2"/>
    <w:rsid w:val="47CD33E9"/>
    <w:rsid w:val="51F333CD"/>
    <w:rsid w:val="5A4E50E3"/>
    <w:rsid w:val="5D75771C"/>
    <w:rsid w:val="6E7F693B"/>
    <w:rsid w:val="6E9028F6"/>
    <w:rsid w:val="7610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1035</Words>
  <Characters>1149</Characters>
  <Lines>0</Lines>
  <Paragraphs>0</Paragraphs>
  <TotalTime>15</TotalTime>
  <ScaleCrop>false</ScaleCrop>
  <LinksUpToDate>false</LinksUpToDate>
  <CharactersWithSpaces>1166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2026-06-03T08:29:00Z</dcterms:created>
  <dc:creator>Administrator</dc:creator>
  <cp:lastModifiedBy>交易中心01</cp:lastModifiedBy>
  <cp:lastPrinted>2026-06-04T03:09:00Z</cp:lastPrinted>
  <dcterms:modified xsi:type="dcterms:W3CDTF">2026-06-04T07:01:31Z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eyJoZGlkIjoiNGMxZmU0ZTIzZjg0YzlkZGU2MTE5M2NkMDU5ZTE0OTgiLCJ1c2VySWQiOiIzNzUzNTU4NzcifQ==</vt:lpwstr>
  </property>
  <property fmtid="{D5CDD505-2E9C-101B-9397-08002B2CF9AE}" pid="4" name="ICV">
    <vt:lpwstr>CD4FDBD092444BA6B9FB5E6C31592309_13</vt:lpwstr>
  </property>
</Properties>
</file>